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059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008"/>
        <w:gridCol w:w="1165"/>
        <w:gridCol w:w="3269"/>
        <w:gridCol w:w="377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spacing w:before="435" w:beforeLines="100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jc w:val="center"/>
              <w:rPr>
                <w:rFonts w:eastAsia="黑体"/>
                <w:bCs/>
                <w:szCs w:val="32"/>
              </w:rPr>
            </w:pPr>
          </w:p>
          <w:p>
            <w:pPr>
              <w:spacing w:line="276" w:lineRule="auto"/>
              <w:jc w:val="center"/>
              <w:rPr>
                <w:rFonts w:eastAsia="黑体"/>
                <w:b/>
                <w:szCs w:val="32"/>
              </w:rPr>
            </w:pPr>
            <w:r>
              <w:rPr>
                <w:rFonts w:eastAsia="黑体"/>
                <w:bCs/>
                <w:szCs w:val="32"/>
              </w:rPr>
              <w:t>2024年第</w:t>
            </w:r>
            <w:r>
              <w:rPr>
                <w:rFonts w:hint="eastAsia" w:eastAsia="黑体"/>
                <w:bCs/>
                <w:szCs w:val="32"/>
              </w:rPr>
              <w:t>2</w:t>
            </w:r>
            <w:r>
              <w:rPr>
                <w:rFonts w:hint="eastAsia" w:eastAsia="黑体"/>
                <w:bCs/>
                <w:szCs w:val="32"/>
                <w:lang w:val="en-US" w:eastAsia="zh-CN"/>
              </w:rPr>
              <w:t>9</w:t>
            </w:r>
            <w:r>
              <w:rPr>
                <w:rFonts w:eastAsia="黑体"/>
                <w:bCs/>
                <w:szCs w:val="32"/>
              </w:rPr>
              <w:t>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240" w:type="dxa"/>
            <w:vAlign w:val="center"/>
          </w:tcPr>
          <w:p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>
            <w:pPr>
              <w:rPr>
                <w:rFonts w:eastAsia="楷体"/>
                <w:szCs w:val="32"/>
              </w:rPr>
            </w:pPr>
            <w:r>
              <w:rPr>
                <w:rFonts w:hint="eastAsia" w:eastAsia="楷体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2024年</w:t>
            </w:r>
            <w:r>
              <w:rPr>
                <w:rFonts w:hint="eastAsia" w:eastAsia="楷体"/>
                <w:spacing w:val="-8"/>
                <w:szCs w:val="32"/>
                <w:lang w:val="en-US" w:eastAsia="zh-CN"/>
              </w:rPr>
              <w:t>12</w:t>
            </w:r>
            <w:r>
              <w:rPr>
                <w:rFonts w:eastAsia="楷体"/>
                <w:spacing w:val="-8"/>
                <w:szCs w:val="32"/>
              </w:rPr>
              <w:t>月</w:t>
            </w:r>
            <w:r>
              <w:rPr>
                <w:rFonts w:hint="eastAsia" w:eastAsia="楷体"/>
                <w:spacing w:val="-8"/>
                <w:szCs w:val="32"/>
                <w:lang w:val="en-US" w:eastAsia="zh-CN"/>
              </w:rPr>
              <w:t>13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</w:tbl>
    <w:p>
      <w:pPr>
        <w:rPr>
          <w:rFonts w:hint="eastAsia" w:ascii="楷体" w:hAnsi="楷体" w:eastAsia="楷体"/>
          <w:b/>
          <w:bCs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  <w:lang w:val="en-US" w:eastAsia="zh-CN"/>
        </w:rPr>
        <w:t>12</w:t>
      </w:r>
      <w:r>
        <w:rPr>
          <w:rFonts w:hint="eastAsia" w:eastAsia="仿宋"/>
          <w:szCs w:val="32"/>
        </w:rPr>
        <w:t>月</w:t>
      </w:r>
      <w:r>
        <w:rPr>
          <w:rFonts w:hint="eastAsia" w:eastAsia="仿宋"/>
          <w:szCs w:val="32"/>
          <w:lang w:val="en-US" w:eastAsia="zh-CN"/>
        </w:rPr>
        <w:t>13</w:t>
      </w:r>
      <w:r>
        <w:rPr>
          <w:rFonts w:hint="eastAsia" w:eastAsia="仿宋"/>
          <w:szCs w:val="32"/>
        </w:rPr>
        <w:t>日，物联网学院党委召开了2024年第</w:t>
      </w:r>
      <w:r>
        <w:rPr>
          <w:rFonts w:hint="eastAsia" w:eastAsia="仿宋"/>
          <w:szCs w:val="32"/>
          <w:lang w:val="en-US" w:eastAsia="zh-CN"/>
        </w:rPr>
        <w:t>29</w:t>
      </w:r>
      <w:r>
        <w:rPr>
          <w:rFonts w:hint="eastAsia" w:eastAsia="仿宋"/>
          <w:szCs w:val="32"/>
        </w:rPr>
        <w:t>次会议，会议由学院党委书记邓艳华主持。出席会议的有：学院党委书记邓艳华，党委副书记、院长赵海涛，党委副书记、副院长邓艳，党委委员、副院长苗立志</w:t>
      </w:r>
      <w:r>
        <w:rPr>
          <w:rFonts w:hint="eastAsia" w:eastAsia="仿宋"/>
          <w:szCs w:val="32"/>
          <w:lang w:eastAsia="zh-CN"/>
        </w:rPr>
        <w:t>，</w:t>
      </w:r>
      <w:r>
        <w:rPr>
          <w:rFonts w:hint="eastAsia" w:eastAsia="仿宋"/>
          <w:szCs w:val="32"/>
        </w:rPr>
        <w:t>党委委员、副院长解相朋。</w:t>
      </w:r>
      <w:r>
        <w:rPr>
          <w:rFonts w:hint="eastAsia" w:eastAsia="仿宋"/>
          <w:szCs w:val="32"/>
          <w:lang w:val="en-US" w:eastAsia="zh-CN"/>
        </w:rPr>
        <w:t>办公室主任胡文龙、</w:t>
      </w:r>
      <w:r>
        <w:rPr>
          <w:rFonts w:hint="eastAsia" w:eastAsia="仿宋"/>
          <w:szCs w:val="32"/>
        </w:rPr>
        <w:t>专职组织员唐静月列席会议。</w:t>
      </w:r>
      <w:bookmarkStart w:id="2" w:name="_GoBack"/>
      <w:bookmarkEnd w:id="2"/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会议讨论、研究了以下方面的议题。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Cs w:val="32"/>
        </w:rPr>
      </w:pPr>
      <w:r>
        <w:rPr>
          <w:rFonts w:ascii="仿宋" w:hAnsi="仿宋" w:eastAsia="仿宋"/>
          <w:color w:val="auto"/>
          <w:szCs w:val="32"/>
        </w:rPr>
        <w:t>议题</w:t>
      </w:r>
      <w:r>
        <w:rPr>
          <w:rFonts w:hint="eastAsia" w:ascii="仿宋" w:hAnsi="仿宋" w:eastAsia="仿宋"/>
          <w:color w:val="auto"/>
          <w:szCs w:val="32"/>
        </w:rPr>
        <w:t>一</w:t>
      </w:r>
      <w:r>
        <w:rPr>
          <w:rFonts w:ascii="仿宋" w:hAnsi="仿宋" w:eastAsia="仿宋"/>
          <w:color w:val="auto"/>
          <w:szCs w:val="32"/>
        </w:rPr>
        <w:t>：学习</w:t>
      </w:r>
      <w:r>
        <w:rPr>
          <w:rFonts w:hint="eastAsia" w:ascii="仿宋" w:hAnsi="仿宋" w:eastAsia="仿宋"/>
          <w:color w:val="auto"/>
          <w:szCs w:val="32"/>
        </w:rPr>
        <w:t>习近平总书记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关于把握数字化、网络化、智能化发展大势，携手迈进更加美好的“数字未来”的重要讲话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"/>
          <w:szCs w:val="32"/>
          <w:lang w:val="en-US" w:eastAsia="zh-CN"/>
        </w:rPr>
      </w:pPr>
      <w:r>
        <w:rPr>
          <w:rFonts w:ascii="仿宋" w:hAnsi="仿宋" w:eastAsia="仿宋"/>
          <w:color w:val="auto"/>
          <w:szCs w:val="32"/>
        </w:rPr>
        <w:t>议题</w:t>
      </w:r>
      <w:r>
        <w:rPr>
          <w:rFonts w:hint="eastAsia" w:ascii="仿宋" w:hAnsi="仿宋" w:eastAsia="仿宋"/>
          <w:color w:val="auto"/>
          <w:szCs w:val="32"/>
        </w:rPr>
        <w:t>二</w:t>
      </w:r>
      <w:bookmarkStart w:id="0" w:name="_Hlk165296818"/>
      <w:bookmarkStart w:id="1" w:name="_Hlk165296885"/>
      <w:r>
        <w:rPr>
          <w:rFonts w:hint="eastAsia" w:eastAsia="仿宋"/>
          <w:szCs w:val="32"/>
        </w:rPr>
        <w:t>：</w:t>
      </w:r>
      <w:bookmarkEnd w:id="0"/>
      <w:bookmarkEnd w:id="1"/>
      <w:r>
        <w:rPr>
          <w:rFonts w:hint="eastAsia" w:eastAsia="仿宋"/>
          <w:szCs w:val="32"/>
        </w:rPr>
        <w:t>审批下半年党员发展工作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"/>
          <w:szCs w:val="32"/>
          <w:lang w:val="en-US" w:eastAsia="zh-CN"/>
        </w:rPr>
      </w:pPr>
      <w:r>
        <w:rPr>
          <w:rFonts w:hint="eastAsia" w:eastAsia="仿宋"/>
          <w:szCs w:val="32"/>
          <w:lang w:val="en-US" w:eastAsia="zh-CN"/>
        </w:rPr>
        <w:t>议题三：审议2024年度综合治理先进个人学院推荐名单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eastAsia="仿宋"/>
          <w:szCs w:val="32"/>
          <w:lang w:val="en-US" w:eastAsia="zh-CN"/>
        </w:rPr>
      </w:pPr>
      <w:r>
        <w:rPr>
          <w:rFonts w:hint="default" w:eastAsia="仿宋"/>
          <w:szCs w:val="32"/>
          <w:lang w:val="en-US" w:eastAsia="zh-CN"/>
        </w:rPr>
        <w:t>议题四：审议2024年底年终绩效分配原则</w:t>
      </w:r>
    </w:p>
    <w:p>
      <w:pPr>
        <w:adjustRightInd w:val="0"/>
        <w:snapToGrid w:val="0"/>
        <w:spacing w:line="560" w:lineRule="exact"/>
        <w:rPr>
          <w:rFonts w:hint="eastAsia" w:eastAsia="仿宋"/>
          <w:szCs w:val="32"/>
        </w:rPr>
      </w:pPr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eastAsia="仿宋"/>
          <w:szCs w:val="32"/>
        </w:rPr>
      </w:pPr>
      <w:r>
        <w:rPr>
          <w:rFonts w:hint="eastAsia" w:eastAsia="仿宋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>
      <w:pPr>
        <w:adjustRightInd w:val="0"/>
        <w:snapToGrid w:val="0"/>
        <w:spacing w:line="560" w:lineRule="exact"/>
        <w:ind w:right="320" w:firstLine="4320" w:firstLineChars="135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2024年</w:t>
      </w:r>
      <w:r>
        <w:rPr>
          <w:rFonts w:hint="eastAsia" w:eastAsia="仿宋"/>
          <w:szCs w:val="32"/>
          <w:lang w:val="en-US" w:eastAsia="zh-CN"/>
        </w:rPr>
        <w:t>12</w:t>
      </w:r>
      <w:r>
        <w:rPr>
          <w:rFonts w:eastAsia="仿宋"/>
          <w:szCs w:val="32"/>
        </w:rPr>
        <w:t>月</w:t>
      </w:r>
      <w:r>
        <w:rPr>
          <w:rFonts w:hint="eastAsia" w:eastAsia="仿宋"/>
          <w:szCs w:val="32"/>
          <w:lang w:val="en-US" w:eastAsia="zh-CN"/>
        </w:rPr>
        <w:t>13</w:t>
      </w:r>
      <w:r>
        <w:rPr>
          <w:rFonts w:eastAsia="仿宋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1019079962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1</w:t>
        </w:r>
        <w:r>
          <w:rPr>
            <w:rStyle w:val="18"/>
          </w:rPr>
          <w:fldChar w:fldCharType="end"/>
        </w:r>
      </w:p>
    </w:sdtContent>
  </w:sdt>
  <w:p>
    <w:pPr>
      <w:pStyle w:val="11"/>
      <w:framePr w:wrap="auto" w:vAnchor="text" w:hAnchor="margin" w:xAlign="center" w:y="1"/>
      <w:ind w:right="360"/>
      <w:rPr>
        <w:rStyle w:val="18"/>
        <w:sz w:val="28"/>
        <w:szCs w:val="28"/>
      </w:rPr>
    </w:pPr>
  </w:p>
  <w:p>
    <w:pPr>
      <w:pStyle w:val="11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1981889919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DMzN2Q0NjYxOTdlMjYxZDk5MGNmODA0YzIwYzcifQ=="/>
    <w:docVar w:name="KSO_WPS_MARK_KEY" w:val="c699d236-ecf9-4810-95a9-3b334a8f0aab"/>
  </w:docVars>
  <w:rsids>
    <w:rsidRoot w:val="00D54C1A"/>
    <w:rsid w:val="00027781"/>
    <w:rsid w:val="00061256"/>
    <w:rsid w:val="000A3400"/>
    <w:rsid w:val="000A6D6E"/>
    <w:rsid w:val="000C2B9A"/>
    <w:rsid w:val="000C3D6A"/>
    <w:rsid w:val="000F1D1C"/>
    <w:rsid w:val="00131225"/>
    <w:rsid w:val="001540EF"/>
    <w:rsid w:val="00171F58"/>
    <w:rsid w:val="001809E4"/>
    <w:rsid w:val="00265C54"/>
    <w:rsid w:val="00276A4B"/>
    <w:rsid w:val="0029400A"/>
    <w:rsid w:val="002D30EF"/>
    <w:rsid w:val="002F3DE2"/>
    <w:rsid w:val="003043C7"/>
    <w:rsid w:val="0032013D"/>
    <w:rsid w:val="003418AE"/>
    <w:rsid w:val="00383312"/>
    <w:rsid w:val="00435630"/>
    <w:rsid w:val="005476BB"/>
    <w:rsid w:val="00574512"/>
    <w:rsid w:val="005A1B4C"/>
    <w:rsid w:val="00603F40"/>
    <w:rsid w:val="00626B1B"/>
    <w:rsid w:val="00627A60"/>
    <w:rsid w:val="00636E3D"/>
    <w:rsid w:val="0067244F"/>
    <w:rsid w:val="006975D4"/>
    <w:rsid w:val="006B3E93"/>
    <w:rsid w:val="006B7CE2"/>
    <w:rsid w:val="006D7543"/>
    <w:rsid w:val="0072511F"/>
    <w:rsid w:val="00765A6E"/>
    <w:rsid w:val="007924C3"/>
    <w:rsid w:val="007C1330"/>
    <w:rsid w:val="008B3C20"/>
    <w:rsid w:val="00905440"/>
    <w:rsid w:val="009364EA"/>
    <w:rsid w:val="009C43F5"/>
    <w:rsid w:val="00A32C7F"/>
    <w:rsid w:val="00A82F67"/>
    <w:rsid w:val="00AA04A4"/>
    <w:rsid w:val="00AB49CB"/>
    <w:rsid w:val="00AD598E"/>
    <w:rsid w:val="00B63F19"/>
    <w:rsid w:val="00B73558"/>
    <w:rsid w:val="00BD5C56"/>
    <w:rsid w:val="00BE4BE8"/>
    <w:rsid w:val="00BF731A"/>
    <w:rsid w:val="00C33469"/>
    <w:rsid w:val="00C97E16"/>
    <w:rsid w:val="00CA296E"/>
    <w:rsid w:val="00CC004E"/>
    <w:rsid w:val="00CE7B5B"/>
    <w:rsid w:val="00D25097"/>
    <w:rsid w:val="00D30E54"/>
    <w:rsid w:val="00D54C1A"/>
    <w:rsid w:val="00DA66E3"/>
    <w:rsid w:val="00DD2A35"/>
    <w:rsid w:val="00E72579"/>
    <w:rsid w:val="00EA5F72"/>
    <w:rsid w:val="00ED4288"/>
    <w:rsid w:val="00ED60A8"/>
    <w:rsid w:val="00EE112B"/>
    <w:rsid w:val="00F15145"/>
    <w:rsid w:val="01C5418B"/>
    <w:rsid w:val="12B27FBB"/>
    <w:rsid w:val="1C7662D5"/>
    <w:rsid w:val="213A63F0"/>
    <w:rsid w:val="2D8B1C50"/>
    <w:rsid w:val="31DB571D"/>
    <w:rsid w:val="33916600"/>
    <w:rsid w:val="41E73D91"/>
    <w:rsid w:val="42545F7B"/>
    <w:rsid w:val="4F497FEB"/>
    <w:rsid w:val="51DC17B4"/>
    <w:rsid w:val="534D7140"/>
    <w:rsid w:val="5848649B"/>
    <w:rsid w:val="63F5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39"/>
    <w:rPr>
      <w:rFonts w:ascii="等线" w:hAnsi="等线" w:eastAsia="等线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14:ligatures w14:val="standardContextual"/>
    </w:rPr>
  </w:style>
  <w:style w:type="character" w:customStyle="1" w:styleId="34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14:ligatures w14:val="standardContextual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脚 字符"/>
    <w:basedOn w:val="17"/>
    <w:link w:val="11"/>
    <w:qFormat/>
    <w:uiPriority w:val="0"/>
    <w:rPr>
      <w:rFonts w:ascii="Times New Roman" w:hAnsi="Times New Roman" w:eastAsia="仿宋_GB2312" w:cs="Times New Roman"/>
      <w:sz w:val="18"/>
      <w:szCs w:val="18"/>
      <w14:ligatures w14:val="none"/>
    </w:rPr>
  </w:style>
  <w:style w:type="paragraph" w:styleId="39">
    <w:name w:val="No Spacing"/>
    <w:qFormat/>
    <w:uiPriority w:val="1"/>
    <w:pPr>
      <w:widowControl w:val="0"/>
      <w:adjustRightInd w:val="0"/>
      <w:snapToGrid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40">
    <w:name w:val="页眉 字符"/>
    <w:basedOn w:val="17"/>
    <w:link w:val="12"/>
    <w:qFormat/>
    <w:uiPriority w:val="99"/>
    <w:rPr>
      <w:rFonts w:ascii="Times New Roman" w:hAnsi="Times New Roman" w:eastAsia="仿宋_GB2312" w:cs="Times New Roman"/>
      <w:sz w:val="18"/>
      <w:szCs w:val="18"/>
      <w14:ligatures w14:val="none"/>
    </w:rPr>
  </w:style>
  <w:style w:type="character" w:customStyle="1" w:styleId="41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2024-05-20T01:57:00Z</dcterms:created>
  <dc:creator>Long Chan</dc:creator>
  <cp:lastModifiedBy>唐静月</cp:lastModifiedBy>
  <dcterms:modified xsi:type="dcterms:W3CDTF">2025-01-06T08:04:55Z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